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Default="00CB0520" w:rsidP="00CB0520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CS</w:t>
      </w:r>
    </w:p>
    <w:p w14:paraId="2D00CB42" w14:textId="77777777" w:rsidR="00CB0520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037E7B" w:rsidRDefault="009C5DD6" w:rsidP="009C5D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PŘÍLOHA II</w:t>
      </w:r>
    </w:p>
    <w:p w14:paraId="03895EA2" w14:textId="77777777" w:rsidR="009C5DD6" w:rsidRPr="00037E7B" w:rsidRDefault="009C5DD6" w:rsidP="009C5D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„PŘÍLOHA II</w:t>
      </w:r>
    </w:p>
    <w:p w14:paraId="480031C9" w14:textId="77777777" w:rsidR="009C5DD6" w:rsidRPr="00037E7B" w:rsidRDefault="009C5DD6" w:rsidP="009C5DD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POKYNY PRO PODÁVÁNÍ ZPRÁV O KAPITÁLU A KAPITÁLOVÝCH POŽADAVCÍCH</w:t>
      </w:r>
    </w:p>
    <w:p w14:paraId="08E08E50" w14:textId="77777777" w:rsidR="00EE75F2" w:rsidRDefault="00EE75F2"/>
    <w:p w14:paraId="29C05932" w14:textId="7194A2B7" w:rsidR="00925646" w:rsidRDefault="00FA21C6" w:rsidP="0092564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ČÁST II: POKYNY K ŠABLONÁM</w:t>
      </w:r>
    </w:p>
    <w:p w14:paraId="4DA6D037" w14:textId="77777777" w:rsidR="00FC29F5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7B580897" w14:textId="4FDF8965" w:rsidR="00736637" w:rsidRPr="00736637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532AAD9A" w14:textId="2F132670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10415035"/>
      <w:bookmarkStart w:id="1" w:name="_Toc360188372"/>
      <w:bookmarkStart w:id="2" w:name="_Toc473560923"/>
      <w:bookmarkStart w:id="3" w:name="_Toc151714430"/>
      <w:r>
        <w:rPr>
          <w:rFonts w:ascii="Times New Roman" w:hAnsi="Times New Roman"/>
          <w:sz w:val="24"/>
          <w:u w:val="none"/>
        </w:rPr>
        <w:t>3.6</w:t>
      </w:r>
      <w:r>
        <w:tab/>
      </w:r>
      <w:r>
        <w:rPr>
          <w:rFonts w:ascii="Times New Roman" w:hAnsi="Times New Roman"/>
          <w:sz w:val="24"/>
        </w:rPr>
        <w:t>C 11.00 –</w:t>
      </w:r>
      <w:r w:rsidR="002C769C">
        <w:rPr>
          <w:rFonts w:ascii="Times New Roman" w:hAnsi="Times New Roman"/>
          <w:sz w:val="24"/>
        </w:rPr>
        <w:t xml:space="preserve"> R</w:t>
      </w:r>
      <w:r>
        <w:rPr>
          <w:rFonts w:ascii="Times New Roman" w:hAnsi="Times New Roman"/>
          <w:sz w:val="24"/>
        </w:rPr>
        <w:t>iziko</w:t>
      </w:r>
      <w:r w:rsidR="002C769C">
        <w:rPr>
          <w:rFonts w:ascii="Times New Roman" w:hAnsi="Times New Roman"/>
          <w:sz w:val="24"/>
        </w:rPr>
        <w:t xml:space="preserve"> vypořádání</w:t>
      </w:r>
      <w:r>
        <w:rPr>
          <w:rFonts w:ascii="Times New Roman" w:hAnsi="Times New Roman"/>
          <w:sz w:val="24"/>
        </w:rPr>
        <w:t xml:space="preserve"> / dodání</w:t>
      </w:r>
      <w:bookmarkEnd w:id="0"/>
      <w:r>
        <w:t xml:space="preserve"> </w:t>
      </w:r>
      <w:bookmarkEnd w:id="1"/>
      <w:r>
        <w:rPr>
          <w:rFonts w:ascii="Times New Roman" w:hAnsi="Times New Roman"/>
          <w:sz w:val="24"/>
        </w:rPr>
        <w:t>(CR SETT)</w:t>
      </w:r>
      <w:bookmarkEnd w:id="2"/>
      <w:bookmarkEnd w:id="3"/>
    </w:p>
    <w:p w14:paraId="2752D001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>
        <w:rPr>
          <w:rFonts w:ascii="Times New Roman" w:hAnsi="Times New Roman"/>
          <w:sz w:val="24"/>
          <w:u w:val="none"/>
        </w:rPr>
        <w:t>3.6.1</w:t>
      </w:r>
      <w:r>
        <w:tab/>
      </w:r>
      <w:r>
        <w:rPr>
          <w:rFonts w:ascii="Times New Roman" w:hAnsi="Times New Roman"/>
          <w:sz w:val="24"/>
        </w:rPr>
        <w:t>Obecné poznámky</w:t>
      </w:r>
      <w:bookmarkEnd w:id="4"/>
      <w:bookmarkEnd w:id="5"/>
      <w:bookmarkEnd w:id="6"/>
      <w:bookmarkEnd w:id="7"/>
      <w:bookmarkEnd w:id="8"/>
      <w:bookmarkEnd w:id="9"/>
    </w:p>
    <w:p w14:paraId="2F026EC9" w14:textId="3724025E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99</w:t>
      </w:r>
      <w:r>
        <w:fldChar w:fldCharType="end"/>
      </w:r>
      <w:r>
        <w:t>.</w:t>
      </w:r>
      <w:r>
        <w:tab/>
        <w:t>V této šabloně se uvádí informace o transakcích v obchodním i investičním portfoliu, které nejsou vypořádány po řádném datu dodání, a dále s nimi související kapitálové požadavky k riziku podle čl. 92 odst. 3 písm. c) bodu </w:t>
      </w:r>
      <w:proofErr w:type="spellStart"/>
      <w:r>
        <w:t>ii</w:t>
      </w:r>
      <w:proofErr w:type="spellEnd"/>
      <w:r>
        <w:t xml:space="preserve">) a článku 378 nařízení (EU) č. 575/2013. </w:t>
      </w:r>
      <w:r w:rsidR="0032622A">
        <w:t xml:space="preserve">vypořádání </w:t>
      </w:r>
    </w:p>
    <w:p w14:paraId="0B60E63F" w14:textId="348D9EB9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100</w:t>
      </w:r>
      <w:r>
        <w:fldChar w:fldCharType="end"/>
      </w:r>
      <w:r>
        <w:t>.</w:t>
      </w:r>
      <w:r>
        <w:tab/>
        <w:t>V šabloně CR SETT instituce vykazují informace o riziku</w:t>
      </w:r>
      <w:r w:rsidR="002C769C">
        <w:t xml:space="preserve"> vypořádání</w:t>
      </w:r>
      <w:r>
        <w:t xml:space="preserve"> / riziku dodání v souvislosti s dluhovými nástroji, akciemi, cizími měnami a komoditami, které jsou drženy v jejich obchodním nebo investičním portfoliu. </w:t>
      </w:r>
    </w:p>
    <w:p w14:paraId="1F6DAE78" w14:textId="38F99AA4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101</w:t>
      </w:r>
      <w:r>
        <w:fldChar w:fldCharType="end"/>
      </w:r>
      <w:r>
        <w:t>.</w:t>
      </w:r>
      <w:r>
        <w:tab/>
        <w:t>Podle článku 378 nařízení (EU) č. 575/2013 kapitálovým požadavkům k</w:t>
      </w:r>
      <w:r w:rsidR="002C769C">
        <w:t> </w:t>
      </w:r>
      <w:r>
        <w:t>riziku</w:t>
      </w:r>
      <w:r w:rsidR="002C769C">
        <w:t xml:space="preserve"> vypořádání</w:t>
      </w:r>
      <w:r>
        <w:t xml:space="preserve"> / riziku dodání nepodléhají repo obchody, půjčky či výpůjčky cenných papírů nebo komodit v souvislosti s dluhovými nástroji, akciemi, cizími měnami a komoditami. Je však nutné mít na zřeteli, že deriváty a transakce s delší dobou vypořádání, které nejsou vypořádány po řádném datu dodání, přesto podléhají kapitálovým požadavkům k</w:t>
      </w:r>
      <w:r w:rsidR="002C769C">
        <w:t> </w:t>
      </w:r>
      <w:r>
        <w:t>riziku</w:t>
      </w:r>
      <w:r w:rsidR="002C769C">
        <w:t xml:space="preserve"> vypořádání</w:t>
      </w:r>
      <w:r>
        <w:t xml:space="preserve"> / riziku dodání, jak je stanoveno v článku 378 nařízení (EU) č. 575/2013.</w:t>
      </w:r>
    </w:p>
    <w:p w14:paraId="4DCAF22E" w14:textId="79A986C3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102</w:t>
      </w:r>
      <w:r>
        <w:fldChar w:fldCharType="end"/>
      </w:r>
      <w:r>
        <w:t>.</w:t>
      </w:r>
      <w:r>
        <w:tab/>
        <w:t xml:space="preserve">V případě transakcí nevypořádaných po řádném datu dodání instituce vypočítají cenový rozdíl, jemuž jsou vystaveny. Jedná se o rozdíl mezi dohodnutou vypořádací cenou za dotyčný dluhový nástroj, akcii, cizí měnu nebo komoditu a jejich aktuální tržní hodnotou, pokud by tento rozdíl mohl pro instituci znamenat ztrátu. </w:t>
      </w:r>
    </w:p>
    <w:p w14:paraId="7DB9BE93" w14:textId="77A3E431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103</w:t>
      </w:r>
      <w:r>
        <w:fldChar w:fldCharType="end"/>
      </w:r>
      <w:r>
        <w:t>.</w:t>
      </w:r>
      <w:r>
        <w:tab/>
        <w:t>Pro určení odpovídajících kapitálových požadavků instituce tento rozdíl vynásobí příslušným faktorem podle tabulky 1 v článku 378 nařízení (EU) č. 575/2013.</w:t>
      </w:r>
    </w:p>
    <w:p w14:paraId="59D114DF" w14:textId="20E1E269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104</w:t>
      </w:r>
      <w:r>
        <w:fldChar w:fldCharType="end"/>
      </w:r>
      <w:r>
        <w:t>.</w:t>
      </w:r>
      <w:r>
        <w:tab/>
        <w:t>Pro výpočet objemu rizikové expozice se kapitálové požadavky k</w:t>
      </w:r>
      <w:r w:rsidR="002C769C">
        <w:t> </w:t>
      </w:r>
      <w:r>
        <w:t>riziku</w:t>
      </w:r>
      <w:r w:rsidR="002C769C">
        <w:t xml:space="preserve"> vypořádání</w:t>
      </w:r>
      <w:r>
        <w:t xml:space="preserve"> / riziku dodání násobí faktorem 12,5, a to v souladu s čl. 92 odst. 4 písm. b) nařízení (EU) č. 575/2013.</w:t>
      </w:r>
    </w:p>
    <w:p w14:paraId="451A9870" w14:textId="00DC3B9D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105</w:t>
      </w:r>
      <w:r>
        <w:fldChar w:fldCharType="end"/>
      </w:r>
      <w:r>
        <w:t>.</w:t>
      </w:r>
      <w:r>
        <w:tab/>
        <w:t xml:space="preserve">Je nutné vzít na vědomí, že kapitálové požadavky k volným dodávkám stanoveným v článku 379 nařízení (EU) č. 575/2013 nepatří do působnosti šablony </w:t>
      </w:r>
      <w:r>
        <w:lastRenderedPageBreak/>
        <w:t>CR SETT. Tyto kapitálové požadavky se vykazují v šablonách zaměřených na úvěrové riziko (CR SA, CR IRB).</w:t>
      </w:r>
    </w:p>
    <w:p w14:paraId="2856C9F8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10415037"/>
      <w:bookmarkStart w:id="11" w:name="_Toc360188374"/>
      <w:bookmarkStart w:id="12" w:name="_Toc473560925"/>
      <w:bookmarkStart w:id="13" w:name="_Toc151714432"/>
      <w:r>
        <w:rPr>
          <w:rFonts w:ascii="Times New Roman" w:hAnsi="Times New Roman"/>
          <w:sz w:val="24"/>
          <w:u w:val="none"/>
        </w:rPr>
        <w:t>3.6.2</w:t>
      </w:r>
      <w:r>
        <w:tab/>
      </w:r>
      <w:r>
        <w:rPr>
          <w:rFonts w:ascii="Times New Roman" w:hAnsi="Times New Roman"/>
          <w:sz w:val="24"/>
        </w:rPr>
        <w:t>Pokyny pro konkrétní pozice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2A677E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Sloupce</w:t>
            </w:r>
          </w:p>
        </w:tc>
      </w:tr>
      <w:tr w:rsidR="00925646" w:rsidRPr="002A677E" w14:paraId="0C777B7A" w14:textId="77777777" w:rsidTr="00E07FE9">
        <w:tc>
          <w:tcPr>
            <w:tcW w:w="852" w:type="dxa"/>
          </w:tcPr>
          <w:p w14:paraId="12FCBB6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04AF1B5E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NEVYPOŘÁDANÉ TRANSAKCE VYJÁDŘENÉ VYPOŘÁDACÍ CENOU</w:t>
            </w:r>
          </w:p>
          <w:p w14:paraId="4CB9A5A9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vykazují nevypořádané transakce po jejich řádném dni vypořádání vyjádřené příslušnými dohodnutými vypořádacími cenami, jak je uvedeno v článku 378 nařízení (EU) č. 575/2013. </w:t>
            </w:r>
          </w:p>
          <w:p w14:paraId="09152D4C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tomto sloupci se uvádějí všechny nevypořádané transakce bez ohledu na to, zda z nich po řádném dni vypořádání vyplývá zisk, nebo ztráta.</w:t>
            </w:r>
          </w:p>
        </w:tc>
      </w:tr>
      <w:tr w:rsidR="00925646" w:rsidRPr="002A677E" w14:paraId="5FEA9B26" w14:textId="77777777" w:rsidTr="00E07FE9">
        <w:tc>
          <w:tcPr>
            <w:tcW w:w="852" w:type="dxa"/>
          </w:tcPr>
          <w:p w14:paraId="5EC8BA01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004" w:type="dxa"/>
          </w:tcPr>
          <w:p w14:paraId="5594AB8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 CENOVÉHO ROZDÍLU V DŮSLEDKU NEVYPOŘÁDANÝCH TRANSAKCÍ</w:t>
            </w:r>
          </w:p>
          <w:p w14:paraId="43853ADA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zde vykazují cenový rozdíl mezi dohodnutou vypořádací cenou za dotyčný dluhový nástroj, akcii, cizí měnu nebo komoditu a jejich aktuální tržní hodnotou, pokud by rozdíl představoval pro instituci ztrátu, jak je uvedeno v článku 378 nařízení (EU) č. 575/2013. </w:t>
            </w:r>
          </w:p>
          <w:p w14:paraId="692F8AB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tomto sloupci se vykazují pouze nevypořádané transakce se ztrátou po řádném dni vypořádání.</w:t>
            </w:r>
          </w:p>
        </w:tc>
      </w:tr>
      <w:tr w:rsidR="00925646" w:rsidRPr="002A677E" w14:paraId="40F087AE" w14:textId="77777777" w:rsidTr="00E07FE9">
        <w:tc>
          <w:tcPr>
            <w:tcW w:w="852" w:type="dxa"/>
          </w:tcPr>
          <w:p w14:paraId="464EF1DF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5DA1D585" w14:textId="458D5BB7" w:rsidR="00925646" w:rsidRPr="002A677E" w:rsidRDefault="002C769C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KAPITÁLOVÉ </w:t>
            </w:r>
            <w:r w:rsidR="00925646">
              <w:rPr>
                <w:rStyle w:val="InstructionsTabelleberschrift"/>
                <w:rFonts w:ascii="Times New Roman" w:hAnsi="Times New Roman"/>
                <w:sz w:val="24"/>
              </w:rPr>
              <w:t>POŽADAVKY</w:t>
            </w:r>
          </w:p>
          <w:p w14:paraId="24894388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vykazují kapitálové požadavky vypočítané v souladu s článkem 378 nařízení (EU) č. 575/2013.</w:t>
            </w:r>
          </w:p>
        </w:tc>
      </w:tr>
      <w:tr w:rsidR="00925646" w:rsidRPr="002A677E" w14:paraId="185C6E1B" w14:textId="77777777" w:rsidTr="00E07FE9">
        <w:tc>
          <w:tcPr>
            <w:tcW w:w="852" w:type="dxa"/>
          </w:tcPr>
          <w:p w14:paraId="6691FECB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004" w:type="dxa"/>
          </w:tcPr>
          <w:p w14:paraId="09E890C2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CELKOVÝ OBJEM RIZIKOVÉ EXPOZICE U RIZIKA VYPOŘÁDÁNÍ</w:t>
            </w:r>
          </w:p>
          <w:p w14:paraId="3A06223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souladu s čl. 92 odst. 4 písm. b) nařízení (EU) č. 575/2013 instituce vynásobí své kapitálové požadavky vykázané ve sloupci 0030 faktorem 12,5 a tak získají objem rizikové expozice u vypořádacího rizika.</w:t>
            </w:r>
          </w:p>
        </w:tc>
      </w:tr>
    </w:tbl>
    <w:p w14:paraId="2CF8C386" w14:textId="77777777" w:rsidR="00925646" w:rsidRPr="002A677E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10"/>
      </w:tblGrid>
      <w:tr w:rsidR="00925646" w:rsidRPr="002A677E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Řádky</w:t>
            </w:r>
          </w:p>
        </w:tc>
      </w:tr>
      <w:tr w:rsidR="00925646" w:rsidRPr="002A677E" w14:paraId="6E36F3A5" w14:textId="77777777" w:rsidTr="00E07FE9">
        <w:tc>
          <w:tcPr>
            <w:tcW w:w="852" w:type="dxa"/>
          </w:tcPr>
          <w:p w14:paraId="4E78548D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10" w:type="dxa"/>
          </w:tcPr>
          <w:p w14:paraId="7950866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nevypořádané transakce v investičním portfoliu</w:t>
            </w:r>
          </w:p>
          <w:p w14:paraId="21410DD0" w14:textId="700C573F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zde vykazují souhrnné informace týkající se vypořádacího rizika / rizika dodání u pozic v investičním portfoliu (jak je uvedeno v čl. 92 odst. 4 písm. ca) a článku 378 nařízení (EU) č. 575/2013).</w:t>
            </w:r>
          </w:p>
          <w:p w14:paraId="57BBA9B8" w14:textId="77777777" w:rsidR="00925646" w:rsidRPr="002A677E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{r0010;c0010} instituce vykazují souhrnnou částku nevypořádaných transakcí po řádných datech dodání vyjádřenou odpovídajícími dohodnutými vypořádacími cenami.</w:t>
            </w:r>
          </w:p>
          <w:p w14:paraId="556AEAC8" w14:textId="77777777" w:rsidR="00925646" w:rsidRPr="002A677E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V {r0010;c0020} instituce vykazují souhrnný údaj týkající se expozice vůči cenovému rozdílu v důsledku nevypořádaných transakcí vedoucích ke ztrátě.</w:t>
            </w:r>
          </w:p>
          <w:p w14:paraId="01BDECED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{r0010;c0030] instituce vykazují celkové kapitálové požadavky, které jsou souhrnem kapitálových požadavků k nevypořádaným transakcím a získají se vynásobením „cenového rozdílu“ vykázaného ve sloupci 0020 příslušným faktorem na základě počtu pracovních dnů, které uplynuly po řádném datu vypořádání (kategorie uvedené v tabulce 1 v článku 378 nařízení (EU) č. 575/2013).</w:t>
            </w:r>
          </w:p>
        </w:tc>
      </w:tr>
      <w:tr w:rsidR="00925646" w:rsidRPr="002A677E" w14:paraId="5C9B2254" w14:textId="77777777" w:rsidTr="00E07FE9">
        <w:tc>
          <w:tcPr>
            <w:tcW w:w="852" w:type="dxa"/>
          </w:tcPr>
          <w:p w14:paraId="4D2DFFF2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0020–0060</w:t>
            </w:r>
          </w:p>
        </w:tc>
        <w:tc>
          <w:tcPr>
            <w:tcW w:w="8010" w:type="dxa"/>
          </w:tcPr>
          <w:p w14:paraId="78C0D32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Transakce, které zůstávají nevypořádané do 4 dnů (faktor 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%) </w:t>
            </w:r>
          </w:p>
          <w:p w14:paraId="18729DF9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Transakce, které zůstávají nevypořádané 5 až 15 dnů (faktor 8 %)</w:t>
            </w:r>
          </w:p>
          <w:p w14:paraId="00232284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Transakce, které zůstávají nevypořádané 16 až 30 dnů (faktor 50 %)</w:t>
            </w:r>
          </w:p>
          <w:p w14:paraId="5EEFD9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Transakce, které zůstávají nevypořádané 31 až 45 dnů (faktor 75 %)</w:t>
            </w:r>
          </w:p>
          <w:p w14:paraId="326E480A" w14:textId="44E20BC9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Transakce, které zůstávají nevypořádané </w:t>
            </w:r>
            <w:r w:rsidR="002C769C">
              <w:rPr>
                <w:rStyle w:val="InstructionsTabelleberschrift"/>
                <w:rFonts w:ascii="Times New Roman" w:hAnsi="Times New Roman"/>
                <w:sz w:val="24"/>
              </w:rPr>
              <w:t xml:space="preserve">po dobu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46 dnů</w:t>
            </w:r>
            <w:r w:rsidR="002C769C">
              <w:rPr>
                <w:rStyle w:val="InstructionsTabelleberschrift"/>
                <w:rFonts w:ascii="Times New Roman" w:hAnsi="Times New Roman"/>
                <w:sz w:val="24"/>
              </w:rPr>
              <w:t xml:space="preserve"> nebo déle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(faktor 100 %)</w:t>
            </w:r>
          </w:p>
          <w:p w14:paraId="4BCE7D0D" w14:textId="4D740434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 řádcích 0020 až 0060 instituce vykazují informace týkající se rizika</w:t>
            </w:r>
            <w:r w:rsidR="002C769C">
              <w:rPr>
                <w:rFonts w:ascii="Times New Roman" w:hAnsi="Times New Roman"/>
                <w:sz w:val="24"/>
              </w:rPr>
              <w:t xml:space="preserve"> </w:t>
            </w:r>
            <w:r w:rsidR="002C769C">
              <w:t>vypořádání</w:t>
            </w:r>
            <w:r>
              <w:rPr>
                <w:rFonts w:ascii="Times New Roman" w:hAnsi="Times New Roman"/>
                <w:sz w:val="24"/>
              </w:rPr>
              <w:t xml:space="preserve"> / rizika dodání u pozic v investičním portfoliu na základě kategorií uvedených v tabulce 1 v článku 378 nařízení (EU) č. 575/2013. </w:t>
            </w:r>
          </w:p>
          <w:p w14:paraId="4BA03842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 transakce, které zůstávají nevypořádané méně než pět pracovních dnů, se nevztahují žádné kapitálové požadavky k vypořádacímu riziku / riziku dodání.</w:t>
            </w:r>
          </w:p>
        </w:tc>
      </w:tr>
      <w:tr w:rsidR="00925646" w:rsidRPr="002A677E" w14:paraId="271E44B6" w14:textId="77777777" w:rsidTr="00E07FE9">
        <w:tc>
          <w:tcPr>
            <w:tcW w:w="852" w:type="dxa"/>
          </w:tcPr>
          <w:p w14:paraId="4680CF00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010" w:type="dxa"/>
          </w:tcPr>
          <w:p w14:paraId="56920EB6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nevypořádané transakce v obchodním portfoliu</w:t>
            </w:r>
          </w:p>
          <w:p w14:paraId="3C4B428B" w14:textId="446A5161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zde vykazují souhrnné informace týkající se vypořádacího rizika / rizika dodání u pozic v obchodním portfoliu (jak je uvedeno v čl. 92 odst. 4 písm. ca) a článku 378 nařízení (EU) č. 575/2013).</w:t>
            </w:r>
          </w:p>
          <w:p w14:paraId="2E44B3F3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{r0070;c0010} instituce vykazují souhrnnou částku nevypořádaných transakcí po řádných datech dodání vyjádřenou odpovídajícími dohodnutými vypořádacími cenami.</w:t>
            </w:r>
          </w:p>
          <w:p w14:paraId="1CB848DF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{r0070;c0020} instituce vykazují souhrnný údaj týkající se expozice vůči cenovému rozdílu v důsledku nevypořádaných transakcí vedoucích ke ztrátě.</w:t>
            </w:r>
          </w:p>
          <w:p w14:paraId="64D05373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{r0070;c0030} instituce vykazují celkové kapitálové požadavky, které jsou souhrnem kapitálových požadavků k nevypořádaným transakcím a získají se vynásobením „cenového rozdílu“ vykázaného ve sloupci 0020 příslušným faktorem na základě počtu pracovních dnů, které uplynuly po řádném datu vypořádání (kategorie uvedené v tabulce 1 v článku 378 nařízení (EU) č. 575/2013).</w:t>
            </w:r>
          </w:p>
        </w:tc>
      </w:tr>
      <w:tr w:rsidR="00925646" w:rsidRPr="002A677E" w14:paraId="2284D88A" w14:textId="77777777" w:rsidTr="00E07FE9">
        <w:tc>
          <w:tcPr>
            <w:tcW w:w="852" w:type="dxa"/>
          </w:tcPr>
          <w:p w14:paraId="4F3EBD1A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0080–0120</w:t>
            </w:r>
          </w:p>
        </w:tc>
        <w:tc>
          <w:tcPr>
            <w:tcW w:w="8010" w:type="dxa"/>
          </w:tcPr>
          <w:p w14:paraId="34E9771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Transakce, které zůstávají nevypořádané do 4 dnů (faktor 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%) </w:t>
            </w:r>
          </w:p>
          <w:p w14:paraId="7B8BB09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Transakce, které zůstávají nevypořádané 5 až 15 dnů (faktor 8 %)</w:t>
            </w:r>
          </w:p>
          <w:p w14:paraId="3902398B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Transakce, které zůstávají nevypořádané 16 až 30 dnů (faktor 50 %)</w:t>
            </w:r>
          </w:p>
          <w:p w14:paraId="256655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Transakce, které zůstávají nevypořádané 31 až 45 dnů (faktor 75 %)</w:t>
            </w:r>
          </w:p>
          <w:p w14:paraId="61E1443A" w14:textId="0475DA1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 xml:space="preserve">Transakce, které zůstávají nevypořádané </w:t>
            </w:r>
            <w:r w:rsidR="002C769C">
              <w:rPr>
                <w:rStyle w:val="InstructionsTabelleberschrift"/>
                <w:rFonts w:ascii="Times New Roman" w:hAnsi="Times New Roman"/>
                <w:sz w:val="24"/>
              </w:rPr>
              <w:t xml:space="preserve">po dobu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46 dnů</w:t>
            </w:r>
            <w:r w:rsidR="002C769C">
              <w:rPr>
                <w:rStyle w:val="InstructionsTabelleberschrift"/>
                <w:rFonts w:ascii="Times New Roman" w:hAnsi="Times New Roman"/>
                <w:sz w:val="24"/>
              </w:rPr>
              <w:t xml:space="preserve"> nebo déle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(faktor 100 %)</w:t>
            </w:r>
          </w:p>
          <w:p w14:paraId="1A0345F5" w14:textId="0CB3568F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 řádcích 0080 až 0120 instituce vykazují informace týkající se rizika</w:t>
            </w:r>
            <w:r w:rsidR="002C769C">
              <w:rPr>
                <w:rFonts w:ascii="Times New Roman" w:hAnsi="Times New Roman"/>
                <w:sz w:val="24"/>
              </w:rPr>
              <w:t xml:space="preserve"> </w:t>
            </w:r>
            <w:r w:rsidR="002C769C">
              <w:t>vypořádání</w:t>
            </w:r>
            <w:r>
              <w:rPr>
                <w:rFonts w:ascii="Times New Roman" w:hAnsi="Times New Roman"/>
                <w:sz w:val="24"/>
              </w:rPr>
              <w:t xml:space="preserve"> / rizika dodání u pozic v obchodním portfoliu na základě kategorií uvedených v tabulce 1 v článku 378 nařízení (EU) č. 575/2013. </w:t>
            </w:r>
          </w:p>
          <w:p w14:paraId="0A9F762A" w14:textId="5B52B992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 transakce, které zůstávají nevypořádané méně než pět pracovních dnů, se nevztahují žádné kapitálové požadavky k</w:t>
            </w:r>
            <w:r w:rsidR="002C769C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riziku</w:t>
            </w:r>
            <w:r w:rsidR="002C769C">
              <w:rPr>
                <w:rFonts w:ascii="Times New Roman" w:hAnsi="Times New Roman"/>
                <w:sz w:val="24"/>
              </w:rPr>
              <w:t xml:space="preserve"> </w:t>
            </w:r>
            <w:r w:rsidR="002C769C">
              <w:t>vypořádání</w:t>
            </w:r>
            <w:r>
              <w:rPr>
                <w:rFonts w:ascii="Times New Roman" w:hAnsi="Times New Roman"/>
                <w:sz w:val="24"/>
              </w:rPr>
              <w:t xml:space="preserve"> / riziku dodání.</w:t>
            </w:r>
          </w:p>
        </w:tc>
      </w:tr>
    </w:tbl>
    <w:p w14:paraId="43F97E9B" w14:textId="19CEF56B" w:rsidR="00925646" w:rsidRDefault="00925646" w:rsidP="00925646"/>
    <w:p w14:paraId="557ADFEB" w14:textId="77777777" w:rsidR="00925646" w:rsidRDefault="00925646"/>
    <w:sectPr w:rsidR="00925646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A1AA" w14:textId="77777777" w:rsidR="00960943" w:rsidRDefault="00960943" w:rsidP="00925646">
      <w:pPr>
        <w:spacing w:before="0" w:after="0"/>
      </w:pPr>
      <w:r>
        <w:separator/>
      </w:r>
    </w:p>
  </w:endnote>
  <w:endnote w:type="continuationSeparator" w:id="0">
    <w:p w14:paraId="65273641" w14:textId="77777777" w:rsidR="00960943" w:rsidRDefault="00960943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BB9E" w14:textId="77777777" w:rsidR="00960943" w:rsidRDefault="00960943" w:rsidP="00925646">
      <w:pPr>
        <w:spacing w:before="0" w:after="0"/>
      </w:pPr>
      <w:r>
        <w:separator/>
      </w:r>
    </w:p>
  </w:footnote>
  <w:footnote w:type="continuationSeparator" w:id="0">
    <w:p w14:paraId="07A05382" w14:textId="77777777" w:rsidR="00960943" w:rsidRDefault="00960943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100C667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100C667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2430EC"/>
    <w:rsid w:val="002C769C"/>
    <w:rsid w:val="0032622A"/>
    <w:rsid w:val="005A0E0B"/>
    <w:rsid w:val="00631623"/>
    <w:rsid w:val="006364D5"/>
    <w:rsid w:val="00736637"/>
    <w:rsid w:val="007E5623"/>
    <w:rsid w:val="00925646"/>
    <w:rsid w:val="00960943"/>
    <w:rsid w:val="009C5DD6"/>
    <w:rsid w:val="00A6002C"/>
    <w:rsid w:val="00AB618F"/>
    <w:rsid w:val="00B71F25"/>
    <w:rsid w:val="00CB0520"/>
    <w:rsid w:val="00EE75F2"/>
    <w:rsid w:val="00EF07A1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CFAF01-E4D9-4612-8B23-10C90DFC851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1012</Words>
  <Characters>5851</Characters>
  <Application>Microsoft Office Word</Application>
  <DocSecurity>0</DocSecurity>
  <Lines>130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YAGHMOUROVA Zita (DGT)</cp:lastModifiedBy>
  <cp:revision>12</cp:revision>
  <dcterms:created xsi:type="dcterms:W3CDTF">2024-05-28T09:25:00Z</dcterms:created>
  <dcterms:modified xsi:type="dcterms:W3CDTF">2024-12-09T11:13:00Z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